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E1E" w:rsidRPr="00E53856" w:rsidRDefault="002638EB" w:rsidP="00E476BC">
      <w:pPr>
        <w:jc w:val="both"/>
        <w:rPr>
          <w:b/>
        </w:rPr>
      </w:pPr>
      <w:r w:rsidRPr="00E53856">
        <w:rPr>
          <w:b/>
        </w:rPr>
        <w:t>Légende : </w:t>
      </w:r>
    </w:p>
    <w:p w:rsidR="002638EB" w:rsidRPr="00E53856" w:rsidRDefault="008812CA" w:rsidP="00E476BC">
      <w:pPr>
        <w:jc w:val="both"/>
        <w:rPr>
          <w:b/>
          <w:color w:val="FF0000"/>
        </w:rPr>
      </w:pPr>
      <w:r w:rsidRPr="00E53856">
        <w:rPr>
          <w:b/>
          <w:color w:val="FF0000"/>
        </w:rPr>
        <w:t>I. UN TERRITOIRE LITTORALISÉ DOMINÉ PAR DES MÉTROPOLES STRUCTUR</w:t>
      </w:r>
      <w:r w:rsidR="00E53856" w:rsidRPr="00E53856">
        <w:rPr>
          <w:b/>
          <w:color w:val="FF0000"/>
        </w:rPr>
        <w:t>ÉES EN RÉSEAUX URBAINS. </w:t>
      </w:r>
    </w:p>
    <w:p w:rsidR="005E7E1E" w:rsidRPr="00E53856" w:rsidRDefault="00A93277" w:rsidP="00E53856">
      <w:pPr>
        <w:ind w:left="1416"/>
        <w:jc w:val="both"/>
        <w:rPr>
          <w:color w:val="002060"/>
        </w:rPr>
      </w:pPr>
      <w:r>
        <w:rPr>
          <w:noProof/>
          <w:color w:val="002060"/>
          <w:lang w:eastAsia="fr-FR"/>
        </w:rPr>
        <w:pict>
          <v:oval id="_x0000_s1075" style="position:absolute;left:0;text-align:left;margin-left:9.75pt;margin-top:54.4pt;width:23.25pt;height:22.95pt;z-index:251717632" fillcolor="#7030a0" strokecolor="#7030a0"/>
        </w:pict>
      </w:r>
      <w:r>
        <w:rPr>
          <w:noProof/>
          <w:color w:val="002060"/>
          <w:lang w:eastAsia="fr-FR"/>
        </w:rPr>
        <w:pict>
          <v:oval id="_x0000_s1074" style="position:absolute;left:0;text-align:left;margin-left:24.95pt;margin-top:-13.15pt;width:19.05pt;height:58.5pt;rotation:270;z-index:251716608" fillcolor="#7030a0" strokecolor="#7030a0"/>
        </w:pict>
      </w:r>
      <w:r w:rsidR="00E53856">
        <w:rPr>
          <w:color w:val="002060"/>
        </w:rPr>
        <w:t xml:space="preserve">Le territoire du Brésil et des États-Unis est dominé par des mégapoles en conurbation qui concentrent les pouvoirs économiques, politiques et culturels. C’est le triangle Bello </w:t>
      </w:r>
      <w:proofErr w:type="spellStart"/>
      <w:r w:rsidR="00E53856">
        <w:rPr>
          <w:color w:val="002060"/>
        </w:rPr>
        <w:t>Horizonte</w:t>
      </w:r>
      <w:proofErr w:type="spellEnd"/>
      <w:r w:rsidR="00E53856">
        <w:rPr>
          <w:color w:val="002060"/>
        </w:rPr>
        <w:t xml:space="preserve"> Sao Paulo et Rio au Brésil, c’est le </w:t>
      </w:r>
      <w:proofErr w:type="spellStart"/>
      <w:r w:rsidR="00E53856">
        <w:rPr>
          <w:color w:val="002060"/>
        </w:rPr>
        <w:t>Bos</w:t>
      </w:r>
      <w:proofErr w:type="spellEnd"/>
      <w:r w:rsidR="0029149A">
        <w:rPr>
          <w:color w:val="002060"/>
        </w:rPr>
        <w:t>-</w:t>
      </w:r>
      <w:r w:rsidR="00E53856">
        <w:rPr>
          <w:color w:val="002060"/>
        </w:rPr>
        <w:t>Wash aux États-Unis</w:t>
      </w:r>
      <w:r w:rsidR="0029149A">
        <w:rPr>
          <w:color w:val="002060"/>
        </w:rPr>
        <w:t xml:space="preserve"> entre Boston et Washington</w:t>
      </w:r>
      <w:r w:rsidR="00E53856">
        <w:rPr>
          <w:color w:val="002060"/>
        </w:rPr>
        <w:t>. </w:t>
      </w:r>
    </w:p>
    <w:p w:rsidR="00E53856" w:rsidRPr="00E53856" w:rsidRDefault="00A93277" w:rsidP="00E53856">
      <w:pPr>
        <w:ind w:left="1416"/>
        <w:jc w:val="both"/>
        <w:rPr>
          <w:color w:val="002060"/>
        </w:rPr>
      </w:pPr>
      <w:r>
        <w:rPr>
          <w:noProof/>
          <w:color w:val="002060"/>
          <w:lang w:eastAsia="fr-FR"/>
        </w:rPr>
        <w:pict>
          <v:oval id="_x0000_s1076" style="position:absolute;left:0;text-align:left;margin-left:41.25pt;margin-top:5.6pt;width:11.25pt;height:10.95pt;z-index:251718656" fillcolor="#7030a0" strokecolor="#7030a0"/>
        </w:pict>
      </w:r>
      <w:r w:rsidR="00E53856">
        <w:rPr>
          <w:color w:val="002060"/>
        </w:rPr>
        <w:t>Des métropoles d’envergure régionales ou nationales en périphérie littorale relais et concu</w:t>
      </w:r>
      <w:r w:rsidR="00DA3077">
        <w:rPr>
          <w:color w:val="002060"/>
        </w:rPr>
        <w:t>rrencent la puissance des méga</w:t>
      </w:r>
      <w:r w:rsidR="00E53856">
        <w:rPr>
          <w:color w:val="002060"/>
        </w:rPr>
        <w:t>poles de rang mondial qui dominent les réseaux urbains respectifs. </w:t>
      </w:r>
    </w:p>
    <w:p w:rsidR="00E53856" w:rsidRPr="00E53856" w:rsidRDefault="00A93277" w:rsidP="00E53856">
      <w:pPr>
        <w:ind w:left="1416"/>
        <w:jc w:val="both"/>
        <w:rPr>
          <w:color w:val="002060"/>
        </w:rPr>
      </w:pPr>
      <w:r>
        <w:rPr>
          <w:noProof/>
          <w:color w:val="002060"/>
          <w:lang w:eastAsia="fr-FR"/>
        </w:rPr>
        <w:pict>
          <v:shapetype id="_x0000_t32" coordsize="21600,21600" o:spt="32" o:oned="t" path="m,l21600,21600e" filled="f">
            <v:path arrowok="t" fillok="f" o:connecttype="none"/>
            <o:lock v:ext="edit" shapetype="t"/>
          </v:shapetype>
          <v:shape id="_x0000_s1077" type="#_x0000_t32" style="position:absolute;left:0;text-align:left;margin-left:11.25pt;margin-top:4.9pt;width:36.75pt;height:0;z-index:251719680" o:connectortype="straight" strokecolor="#7030a0" strokeweight="3pt"/>
        </w:pict>
      </w:r>
      <w:r w:rsidR="00E53856">
        <w:rPr>
          <w:color w:val="002060"/>
        </w:rPr>
        <w:t>Le réseau de communication (Aérien, maritime, terrestre routier et ferroviaire, fibre optique Internet et câbles téléphoniques) relie densément les principaux nœuds du réseau urbain. </w:t>
      </w:r>
    </w:p>
    <w:p w:rsidR="00E53856" w:rsidRPr="00E53856" w:rsidRDefault="00A93277" w:rsidP="00E53856">
      <w:pPr>
        <w:ind w:left="1416"/>
        <w:jc w:val="both"/>
        <w:rPr>
          <w:color w:val="002060"/>
        </w:rPr>
      </w:pPr>
      <w:r>
        <w:rPr>
          <w:noProof/>
          <w:color w:val="002060"/>
          <w:lang w:eastAsia="fr-FR"/>
        </w:rPr>
        <w:pict>
          <v:roundrect id="_x0000_s1078" style="position:absolute;left:0;text-align:left;margin-left:14.75pt;margin-top:-1.25pt;width:24pt;height:43pt;rotation:270;z-index:251720704" arcsize=".5" filled="f" strokecolor="#7030a0" strokeweight="4.5pt"/>
        </w:pict>
      </w:r>
      <w:r>
        <w:rPr>
          <w:noProof/>
          <w:color w:val="002060"/>
          <w:lang w:eastAsia="fr-FR"/>
        </w:rPr>
        <w:pict>
          <v:shape id="_x0000_s1088" type="#_x0000_t32" style="position:absolute;left:0;text-align:left;margin-left:477pt;margin-top:38.25pt;width:41.25pt;height:0;z-index:251730944" o:connectortype="straight" strokecolor="#7030a0" strokeweight="3pt">
            <v:stroke dashstyle="1 1" endarrow="block" endcap="round"/>
          </v:shape>
        </w:pict>
      </w:r>
      <w:r>
        <w:rPr>
          <w:noProof/>
          <w:color w:val="002060"/>
          <w:lang w:eastAsia="fr-FR"/>
        </w:rPr>
        <w:pict>
          <v:shape id="_x0000_s1087" type="#_x0000_t32" style="position:absolute;left:0;text-align:left;margin-left:352.5pt;margin-top:38.25pt;width:30.05pt;height:0;z-index:251729920" o:connectortype="straight" strokecolor="#7030a0" strokeweight="3pt">
            <v:stroke endarrow="block"/>
          </v:shape>
        </w:pict>
      </w:r>
      <w:r>
        <w:rPr>
          <w:noProof/>
          <w:color w:val="002060"/>
          <w:lang w:eastAsia="fr-FR"/>
        </w:rPr>
        <w:pict>
          <v:roundrect id="_x0000_s1079" style="position:absolute;left:0;text-align:left;margin-left:168pt;margin-top:-9pt;width:15.75pt;height:63.75pt;rotation:90;z-index:251721728" arcsize=".5" filled="f" strokecolor="#7030a0" strokeweight="4.5pt">
            <v:stroke dashstyle="1 1"/>
          </v:roundrect>
        </w:pict>
      </w:r>
      <w:r w:rsidR="00DA3077">
        <w:rPr>
          <w:color w:val="002060"/>
        </w:rPr>
        <w:t xml:space="preserve">Mégalopole (Comme la Mégalopolis américaine entre les Grands Lacs et Washington) et mégalopole en constitution </w:t>
      </w:r>
      <w:r w:rsidR="00DA3077">
        <w:rPr>
          <w:color w:val="002060"/>
        </w:rPr>
        <w:tab/>
      </w:r>
      <w:r w:rsidR="00DA3077">
        <w:rPr>
          <w:color w:val="002060"/>
        </w:rPr>
        <w:tab/>
      </w:r>
      <w:r w:rsidR="00DA3077">
        <w:rPr>
          <w:color w:val="002060"/>
        </w:rPr>
        <w:tab/>
        <w:t>comme entre Rio au Brésil et Buenos Aires en Argentine. </w:t>
      </w:r>
      <w:r w:rsidR="006024A9">
        <w:rPr>
          <w:color w:val="002060"/>
        </w:rPr>
        <w:t xml:space="preserve">Elles sont attractives et drainent les flux démographiques nationaux </w:t>
      </w:r>
      <w:r w:rsidR="006024A9">
        <w:rPr>
          <w:color w:val="002060"/>
        </w:rPr>
        <w:tab/>
      </w:r>
      <w:r w:rsidR="006024A9">
        <w:rPr>
          <w:color w:val="002060"/>
        </w:rPr>
        <w:tab/>
        <w:t xml:space="preserve">et internationaux </w:t>
      </w:r>
    </w:p>
    <w:p w:rsidR="005E7E1E" w:rsidRPr="00E53856" w:rsidRDefault="00E53856" w:rsidP="00E476BC">
      <w:pPr>
        <w:jc w:val="both"/>
        <w:rPr>
          <w:b/>
          <w:color w:val="FF0000"/>
        </w:rPr>
      </w:pPr>
      <w:r w:rsidRPr="00E53856">
        <w:rPr>
          <w:b/>
          <w:color w:val="FF0000"/>
        </w:rPr>
        <w:t xml:space="preserve">II. UNE ÉCONOMIE DIVERSIFIÉE, ATTRACTIVE ET </w:t>
      </w:r>
      <w:r w:rsidR="0029149A">
        <w:rPr>
          <w:b/>
          <w:color w:val="FF0000"/>
        </w:rPr>
        <w:t>CONNECTÉES AUX FLUX RÉGIONAUX, CONTINENTAUX ET MONDIAUX. </w:t>
      </w:r>
    </w:p>
    <w:p w:rsidR="00E53856" w:rsidRPr="00E53856" w:rsidRDefault="00A93277" w:rsidP="00E53856">
      <w:pPr>
        <w:ind w:left="1416"/>
        <w:jc w:val="both"/>
        <w:rPr>
          <w:color w:val="002060"/>
        </w:rPr>
      </w:pPr>
      <w:r>
        <w:rPr>
          <w:noProof/>
          <w:color w:val="002060"/>
          <w:lang w:eastAsia="fr-FR"/>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98" type="#_x0000_t12" style="position:absolute;left:0;text-align:left;margin-left:496.5pt;margin-top:38.95pt;width:18.75pt;height:22.1pt;z-index:251741184" fillcolor="red" stroked="f"/>
        </w:pict>
      </w:r>
      <w:r>
        <w:rPr>
          <w:noProof/>
          <w:color w:val="002060"/>
          <w:lang w:eastAsia="fr-FR"/>
        </w:rPr>
        <w:pict>
          <v:shapetype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_x0000_s1086" type="#_x0000_t56" style="position:absolute;left:0;text-align:left;margin-left:314.25pt;margin-top:12.25pt;width:20.25pt;height:19.25pt;z-index:251728896" fillcolor="red" stroked="f"/>
        </w:pict>
      </w:r>
      <w:r w:rsidRPr="00A93277">
        <w:rPr>
          <w:b/>
          <w:noProof/>
          <w:color w:val="FF0000"/>
          <w:lang w:eastAsia="fr-FR"/>
        </w:rPr>
        <w:pict>
          <v:rect id="_x0000_s1080" style="position:absolute;left:0;text-align:left;margin-left:.25pt;margin-top:8pt;width:48pt;height:19.5pt;z-index:251722752" fillcolor="red"/>
        </w:pict>
      </w:r>
      <w:r w:rsidR="007C7D99">
        <w:rPr>
          <w:color w:val="002060"/>
        </w:rPr>
        <w:t>Des espaces industriels diversifiés et dynamiques en périphérie des grands centres urbains</w:t>
      </w:r>
      <w:r w:rsidR="006024A9">
        <w:rPr>
          <w:color w:val="002060"/>
        </w:rPr>
        <w:t>, souvent orientés vers les industries de haute technologie</w:t>
      </w:r>
      <w:r w:rsidR="006024A9">
        <w:rPr>
          <w:color w:val="002060"/>
        </w:rPr>
        <w:tab/>
      </w:r>
      <w:r w:rsidR="006024A9">
        <w:rPr>
          <w:color w:val="002060"/>
        </w:rPr>
        <w:tab/>
        <w:t>comme l’industrie aérospatiale, l’armement, l’électronique et la téléphonie, l’informatique..</w:t>
      </w:r>
      <w:r w:rsidR="007C7D99">
        <w:rPr>
          <w:color w:val="002060"/>
        </w:rPr>
        <w:t>. Espaces de fortes densités de peuplement et de hauts revenus</w:t>
      </w:r>
      <w:r w:rsidR="00961213">
        <w:rPr>
          <w:color w:val="002060"/>
        </w:rPr>
        <w:t>, ils accueillent les pouvoirs décisionnels à toutes les échelles</w:t>
      </w:r>
      <w:r w:rsidR="007C7D99">
        <w:rPr>
          <w:color w:val="002060"/>
        </w:rPr>
        <w:t>. </w:t>
      </w:r>
    </w:p>
    <w:p w:rsidR="00E53856" w:rsidRPr="00E53856" w:rsidRDefault="00A93277" w:rsidP="00E53856">
      <w:pPr>
        <w:ind w:left="1416"/>
        <w:jc w:val="both"/>
        <w:rPr>
          <w:color w:val="002060"/>
        </w:rPr>
      </w:pPr>
      <w:r>
        <w:rPr>
          <w:noProof/>
          <w:color w:val="002060"/>
          <w:lang w:eastAsia="fr-FR"/>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97" type="#_x0000_t13" style="position:absolute;left:0;text-align:left;margin-left:314.25pt;margin-top:65.8pt;width:33.4pt;height:25.35pt;z-index:251740160" fillcolor="#92d050" stroked="f"/>
        </w:pict>
      </w:r>
      <w:r>
        <w:rPr>
          <w:noProof/>
          <w:color w:val="002060"/>
          <w:lang w:eastAsia="fr-FR"/>
        </w:rPr>
        <w:pict>
          <v:rect id="_x0000_s1081" style="position:absolute;left:0;text-align:left;margin-left:0;margin-top:18.15pt;width:48pt;height:19.5pt;z-index:251723776" fillcolor="#ffc000"/>
        </w:pict>
      </w:r>
      <w:r w:rsidR="007C7D99">
        <w:rPr>
          <w:color w:val="002060"/>
        </w:rPr>
        <w:t xml:space="preserve">Des espaces industriels récents, orientés vers les hautes technologies destinées au marché mondial mais assis sur une main d’œuvre locale ou étrangère peu syndiquée et mal rémunérée : c’est la croissant périphérique aux États-Unis, longtemps appelé la </w:t>
      </w:r>
      <w:r w:rsidR="007C7D99" w:rsidRPr="007C7D99">
        <w:rPr>
          <w:i/>
          <w:color w:val="002060"/>
        </w:rPr>
        <w:t xml:space="preserve">Sun </w:t>
      </w:r>
      <w:proofErr w:type="spellStart"/>
      <w:r w:rsidR="007C7D99" w:rsidRPr="007C7D99">
        <w:rPr>
          <w:i/>
          <w:color w:val="002060"/>
        </w:rPr>
        <w:t>Belt</w:t>
      </w:r>
      <w:proofErr w:type="spellEnd"/>
      <w:r w:rsidR="007C7D99">
        <w:rPr>
          <w:color w:val="002060"/>
        </w:rPr>
        <w:t xml:space="preserve"> (Ceinture du soleil) et appelée aujourd’hui </w:t>
      </w:r>
      <w:proofErr w:type="spellStart"/>
      <w:r w:rsidR="007C7D99" w:rsidRPr="007C7D99">
        <w:rPr>
          <w:i/>
          <w:color w:val="002060"/>
        </w:rPr>
        <w:t>Sweat</w:t>
      </w:r>
      <w:proofErr w:type="spellEnd"/>
      <w:r w:rsidR="007C7D99" w:rsidRPr="007C7D99">
        <w:rPr>
          <w:i/>
          <w:color w:val="002060"/>
        </w:rPr>
        <w:t xml:space="preserve"> </w:t>
      </w:r>
      <w:proofErr w:type="spellStart"/>
      <w:r w:rsidR="007C7D99" w:rsidRPr="007C7D99">
        <w:rPr>
          <w:i/>
          <w:color w:val="002060"/>
        </w:rPr>
        <w:t>Belt</w:t>
      </w:r>
      <w:proofErr w:type="spellEnd"/>
      <w:r w:rsidR="007C7D99">
        <w:rPr>
          <w:color w:val="002060"/>
        </w:rPr>
        <w:t xml:space="preserve"> (Ceinture de la sueur). </w:t>
      </w:r>
    </w:p>
    <w:p w:rsidR="00E53856" w:rsidRPr="00E53856" w:rsidRDefault="00A93277" w:rsidP="00E53856">
      <w:pPr>
        <w:ind w:left="1416"/>
        <w:jc w:val="both"/>
        <w:rPr>
          <w:color w:val="002060"/>
        </w:rPr>
      </w:pPr>
      <w:r>
        <w:rPr>
          <w:noProof/>
          <w:color w:val="002060"/>
          <w:lang w:eastAsia="fr-FR"/>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89" type="#_x0000_t5" style="position:absolute;left:0;text-align:left;margin-left:77.25pt;margin-top:27.75pt;width:19.55pt;height:20.65pt;z-index:251731968" fillcolor="red" stroked="f"/>
        </w:pict>
      </w:r>
      <w:r w:rsidRPr="00A93277">
        <w:rPr>
          <w:b/>
          <w:noProof/>
          <w:color w:val="FF0000"/>
          <w:lang w:eastAsia="fr-FR"/>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084" type="#_x0000_t69" style="position:absolute;left:0;text-align:left;margin-left:417.75pt;margin-top:53.15pt;width:33pt;height:20.1pt;z-index:251726848" fillcolor="#002060" strokecolor="#002060"/>
        </w:pict>
      </w:r>
      <w:r>
        <w:rPr>
          <w:noProof/>
          <w:color w:val="002060"/>
          <w:lang w:eastAsia="fr-FR"/>
        </w:rPr>
        <w:pict>
          <v:rect id="_x0000_s1082" style="position:absolute;left:0;text-align:left;margin-left:.25pt;margin-top:8.25pt;width:48pt;height:19.5pt;z-index:251724800" fillcolor="#92d050"/>
        </w:pict>
      </w:r>
      <w:r w:rsidR="00BF1992">
        <w:rPr>
          <w:color w:val="002060"/>
        </w:rPr>
        <w:t>Des espaces agricoles extensifs</w:t>
      </w:r>
      <w:r w:rsidR="00FE42E4">
        <w:rPr>
          <w:color w:val="002060"/>
        </w:rPr>
        <w:tab/>
        <w:t xml:space="preserve"> et en expansion</w:t>
      </w:r>
      <w:r w:rsidR="00FE42E4">
        <w:rPr>
          <w:color w:val="002060"/>
        </w:rPr>
        <w:tab/>
      </w:r>
      <w:r w:rsidR="00FE42E4">
        <w:rPr>
          <w:color w:val="002060"/>
        </w:rPr>
        <w:tab/>
      </w:r>
      <w:r w:rsidR="00BF1992">
        <w:rPr>
          <w:color w:val="002060"/>
        </w:rPr>
        <w:t>, voués à l’élevage et aux cultures d’exportation, inséré</w:t>
      </w:r>
      <w:r w:rsidR="00F551F8">
        <w:rPr>
          <w:color w:val="002060"/>
        </w:rPr>
        <w:t>s</w:t>
      </w:r>
      <w:r w:rsidR="00BF1992">
        <w:rPr>
          <w:color w:val="002060"/>
        </w:rPr>
        <w:t xml:space="preserve"> étroitement aux </w:t>
      </w:r>
      <w:r w:rsidR="00BF1992" w:rsidRPr="00F551F8">
        <w:rPr>
          <w:color w:val="002060"/>
          <w:u w:val="single"/>
        </w:rPr>
        <w:t>I</w:t>
      </w:r>
      <w:r w:rsidR="00BF1992">
        <w:rPr>
          <w:color w:val="002060"/>
        </w:rPr>
        <w:t xml:space="preserve">ndustries </w:t>
      </w:r>
      <w:r w:rsidR="00BF1992" w:rsidRPr="00F551F8">
        <w:rPr>
          <w:color w:val="002060"/>
          <w:u w:val="single"/>
        </w:rPr>
        <w:t>A</w:t>
      </w:r>
      <w:r w:rsidR="00BF1992">
        <w:rPr>
          <w:color w:val="002060"/>
        </w:rPr>
        <w:t>gro</w:t>
      </w:r>
      <w:r w:rsidR="00BF1992" w:rsidRPr="00F551F8">
        <w:rPr>
          <w:color w:val="002060"/>
          <w:u w:val="single"/>
        </w:rPr>
        <w:t>a</w:t>
      </w:r>
      <w:r w:rsidR="00BF1992">
        <w:rPr>
          <w:color w:val="002060"/>
        </w:rPr>
        <w:t xml:space="preserve">limentaires (IAA) et aux places boursières </w:t>
      </w:r>
      <w:r w:rsidR="00FE42E4">
        <w:rPr>
          <w:color w:val="002060"/>
        </w:rPr>
        <w:tab/>
      </w:r>
      <w:r w:rsidR="00562D64">
        <w:rPr>
          <w:color w:val="002060"/>
        </w:rPr>
        <w:t xml:space="preserve"> notamment celle </w:t>
      </w:r>
      <w:r w:rsidR="00BF1992">
        <w:rPr>
          <w:color w:val="002060"/>
        </w:rPr>
        <w:t xml:space="preserve">des matières premières comme le </w:t>
      </w:r>
      <w:proofErr w:type="spellStart"/>
      <w:r w:rsidR="00BF1992" w:rsidRPr="00BF1992">
        <w:rPr>
          <w:i/>
          <w:color w:val="002060"/>
        </w:rPr>
        <w:t>Board</w:t>
      </w:r>
      <w:proofErr w:type="spellEnd"/>
      <w:r w:rsidR="00BF1992" w:rsidRPr="00BF1992">
        <w:rPr>
          <w:i/>
          <w:color w:val="002060"/>
        </w:rPr>
        <w:t xml:space="preserve"> Of Trade</w:t>
      </w:r>
      <w:r w:rsidR="006024A9">
        <w:rPr>
          <w:color w:val="002060"/>
        </w:rPr>
        <w:t xml:space="preserve"> de Chicago. </w:t>
      </w:r>
    </w:p>
    <w:p w:rsidR="00E53856" w:rsidRPr="00E53856" w:rsidRDefault="00A93277" w:rsidP="00E53856">
      <w:pPr>
        <w:ind w:left="1416"/>
        <w:jc w:val="both"/>
        <w:rPr>
          <w:color w:val="002060"/>
        </w:rPr>
      </w:pPr>
      <w:r>
        <w:rPr>
          <w:noProof/>
          <w:color w:val="002060"/>
          <w:lang w:eastAsia="fr-FR"/>
        </w:rPr>
        <w:pict>
          <v:rect id="_x0000_s1085" style="position:absolute;left:0;text-align:left;margin-left:484.5pt;margin-top:45.8pt;width:17pt;height:17.5pt;z-index:251727872" fillcolor="#002060" strokecolor="#002060" strokeweight="4.5pt">
            <v:stroke linestyle="thinThick"/>
          </v:rect>
        </w:pict>
      </w:r>
      <w:r>
        <w:rPr>
          <w:noProof/>
          <w:color w:val="002060"/>
          <w:lang w:eastAsia="fr-FR"/>
        </w:rPr>
        <w:pict>
          <v:shape id="_x0000_s1083" type="#_x0000_t32" style="position:absolute;left:0;text-align:left;margin-left:.25pt;margin-top:20.1pt;width:47.75pt;height:.05pt;z-index:251725824" o:connectortype="straight" strokecolor="#002060" strokeweight="6pt">
            <v:stroke dashstyle="1 1"/>
          </v:shape>
        </w:pict>
      </w:r>
      <w:r w:rsidR="00BF1992">
        <w:rPr>
          <w:color w:val="002060"/>
        </w:rPr>
        <w:t xml:space="preserve">Interfaces terrestres et maritimes, portes d’entrées privilégiées des flux </w:t>
      </w:r>
      <w:r w:rsidR="00BF1992">
        <w:rPr>
          <w:color w:val="002060"/>
        </w:rPr>
        <w:tab/>
      </w:r>
      <w:r w:rsidR="00BF1992">
        <w:rPr>
          <w:color w:val="002060"/>
        </w:rPr>
        <w:tab/>
        <w:t xml:space="preserve">matériels (Commerce, immigration, tourisme) et immatériels (Produits financiers, </w:t>
      </w:r>
      <w:r w:rsidR="00BF1992" w:rsidRPr="00BF1992">
        <w:rPr>
          <w:color w:val="002060"/>
          <w:u w:val="single"/>
        </w:rPr>
        <w:t>I</w:t>
      </w:r>
      <w:r w:rsidR="00BF1992">
        <w:rPr>
          <w:color w:val="002060"/>
        </w:rPr>
        <w:t xml:space="preserve">nvestissements </w:t>
      </w:r>
      <w:r w:rsidR="00BF1992">
        <w:rPr>
          <w:color w:val="002060"/>
          <w:u w:val="single"/>
        </w:rPr>
        <w:t>D</w:t>
      </w:r>
      <w:r w:rsidR="00BF1992">
        <w:rPr>
          <w:color w:val="002060"/>
        </w:rPr>
        <w:t xml:space="preserve">irects </w:t>
      </w:r>
      <w:r w:rsidR="00BF1992" w:rsidRPr="00BF1992">
        <w:rPr>
          <w:color w:val="002060"/>
          <w:u w:val="single"/>
        </w:rPr>
        <w:t>É</w:t>
      </w:r>
      <w:r w:rsidR="00BF1992">
        <w:rPr>
          <w:color w:val="002060"/>
        </w:rPr>
        <w:t>trangers, IDE) et ce à toutes les échelles. </w:t>
      </w:r>
      <w:r w:rsidR="006024A9">
        <w:rPr>
          <w:color w:val="002060"/>
        </w:rPr>
        <w:t>Ces flux sont captés par des infrastructures de transports de taille modeste à l’échelle mondiale mais nombreuses comme les ports et les aéroports</w:t>
      </w:r>
      <w:r w:rsidR="006024A9">
        <w:rPr>
          <w:color w:val="002060"/>
        </w:rPr>
        <w:tab/>
        <w:t>. </w:t>
      </w:r>
    </w:p>
    <w:p w:rsidR="00E53856" w:rsidRPr="00E53856" w:rsidRDefault="00E53856" w:rsidP="00E476BC">
      <w:pPr>
        <w:jc w:val="both"/>
        <w:rPr>
          <w:b/>
          <w:color w:val="FF0000"/>
        </w:rPr>
      </w:pPr>
      <w:r w:rsidRPr="00E53856">
        <w:rPr>
          <w:b/>
          <w:color w:val="FF0000"/>
        </w:rPr>
        <w:t xml:space="preserve">III. DES RESSOURCES PRIMAIRES ABONDANTES </w:t>
      </w:r>
      <w:r w:rsidR="00FE42E4">
        <w:rPr>
          <w:b/>
          <w:color w:val="FF0000"/>
        </w:rPr>
        <w:t xml:space="preserve">AUSSI BIEN </w:t>
      </w:r>
      <w:r w:rsidRPr="00E53856">
        <w:rPr>
          <w:b/>
          <w:color w:val="FF0000"/>
        </w:rPr>
        <w:t>EXPLOITÉ</w:t>
      </w:r>
      <w:r w:rsidR="00FE42E4">
        <w:rPr>
          <w:b/>
          <w:color w:val="FF0000"/>
        </w:rPr>
        <w:t xml:space="preserve">ES QUE PLACÉES </w:t>
      </w:r>
      <w:r w:rsidRPr="00E53856">
        <w:rPr>
          <w:b/>
          <w:color w:val="FF0000"/>
        </w:rPr>
        <w:t>EN RÉSERVE. </w:t>
      </w:r>
    </w:p>
    <w:p w:rsidR="002C2B1F" w:rsidRPr="00E53856" w:rsidRDefault="00A93277" w:rsidP="00E53856">
      <w:pPr>
        <w:ind w:left="1416"/>
        <w:jc w:val="both"/>
        <w:rPr>
          <w:color w:val="002060"/>
        </w:rPr>
      </w:pPr>
      <w:r>
        <w:rPr>
          <w:noProof/>
          <w:color w:val="002060"/>
          <w:lang w:eastAsia="fr-FR"/>
        </w:rPr>
        <w:pict>
          <v:group id="_x0000_s1095" style="position:absolute;left:0;text-align:left;margin-left:9.75pt;margin-top:67.75pt;width:31.5pt;height:33.7pt;z-index:251738112" coordorigin="5505,11800" coordsize="1200,1290">
            <v:shapetype id="_x0000_t4" coordsize="21600,21600" o:spt="4" path="m10800,l,10800,10800,21600,21600,10800xe">
              <v:stroke joinstyle="miter"/>
              <v:path gradientshapeok="t" o:connecttype="rect" textboxrect="5400,5400,16200,16200"/>
            </v:shapetype>
            <v:shape id="_x0000_s1092" type="#_x0000_t4" style="position:absolute;left:5850;top:11800;width:540;height:810" fillcolor="#e36c0a [2409]" stroked="f"/>
            <v:shape id="_x0000_s1093" type="#_x0000_t4" style="position:absolute;left:6165;top:12280;width:540;height:810" fillcolor="#e36c0a [2409]" stroked="f"/>
            <v:shape id="_x0000_s1094" type="#_x0000_t4" style="position:absolute;left:5505;top:12250;width:540;height:810" fillcolor="#e36c0a [2409]" stroked="f"/>
          </v:group>
        </w:pict>
      </w:r>
      <w:r>
        <w:rPr>
          <w:noProof/>
          <w:color w:val="002060"/>
          <w:lang w:eastAsia="fr-FR"/>
        </w:rPr>
        <w:pict>
          <v:rect id="_x0000_s1090" style="position:absolute;left:0;text-align:left;margin-left:.25pt;margin-top:18.85pt;width:48pt;height:19.5pt;z-index:251732992" filled="f" fillcolor="red"/>
        </w:pict>
      </w:r>
      <w:r w:rsidR="00FE42E4">
        <w:rPr>
          <w:color w:val="002060"/>
        </w:rPr>
        <w:t>Les espaces réserves : aux densités de peuplement faible et au réseau de transport sommaire, les espaces réserves abritent des richesses (Gisements de matières premières, potentialités hydroélectriques) mais assurent surtout les capacités d’extension des zones agricoles et industrielles. </w:t>
      </w:r>
    </w:p>
    <w:p w:rsidR="00E53856" w:rsidRDefault="00FE42E4" w:rsidP="00E53856">
      <w:pPr>
        <w:ind w:left="1416"/>
        <w:jc w:val="both"/>
        <w:rPr>
          <w:color w:val="002060"/>
        </w:rPr>
      </w:pPr>
      <w:r>
        <w:rPr>
          <w:color w:val="002060"/>
        </w:rPr>
        <w:t xml:space="preserve">Richesses minières conventionnelles (Pétrole, gaz naturel, charbon…) ou non conventionnelles (Huiles de Schiste comme aux États-Unis, sables bitumineux comme au Canada, nappes pétrolières </w:t>
      </w:r>
      <w:r w:rsidRPr="00FE42E4">
        <w:rPr>
          <w:i/>
          <w:color w:val="002060"/>
        </w:rPr>
        <w:t>off Shore</w:t>
      </w:r>
      <w:r>
        <w:rPr>
          <w:color w:val="002060"/>
        </w:rPr>
        <w:t xml:space="preserve"> de très grande profondeur comme au Brésil) en cours d’exploitation. </w:t>
      </w:r>
    </w:p>
    <w:p w:rsidR="00FE42E4" w:rsidRPr="00E53856" w:rsidRDefault="00A93277" w:rsidP="00E53856">
      <w:pPr>
        <w:ind w:left="1416"/>
        <w:jc w:val="both"/>
        <w:rPr>
          <w:color w:val="002060"/>
        </w:rPr>
      </w:pPr>
      <w:r>
        <w:rPr>
          <w:noProof/>
          <w:color w:val="002060"/>
          <w:lang w:eastAsia="fr-FR"/>
        </w:rPr>
        <w:pict>
          <v:rect id="_x0000_s1096" style="position:absolute;left:0;text-align:left;margin-left:0;margin-top:35.8pt;width:48pt;height:19.5pt;z-index:251739136" fillcolor="#00b050"/>
        </w:pict>
      </w:r>
      <w:r>
        <w:rPr>
          <w:noProof/>
          <w:color w:val="002060"/>
          <w:lang w:eastAsia="fr-FR"/>
        </w:rPr>
        <w:pict>
          <v:rect id="_x0000_s1091" style="position:absolute;left:0;text-align:left;margin-left:.25pt;margin-top:4.3pt;width:48pt;height:19.5pt;z-index:251734016" fillcolor="#8db3e2 [1311]"/>
        </w:pict>
      </w:r>
      <w:r w:rsidR="00FE42E4">
        <w:rPr>
          <w:color w:val="002060"/>
        </w:rPr>
        <w:t>Les espaces maritimes, des espaces de manifestation de la puissance mais aussi d’exploitation économique. </w:t>
      </w:r>
    </w:p>
    <w:p w:rsidR="00E53856" w:rsidRPr="00FE42E4" w:rsidRDefault="00FE42E4" w:rsidP="00FE42E4">
      <w:pPr>
        <w:ind w:left="1416"/>
        <w:jc w:val="both"/>
        <w:rPr>
          <w:color w:val="002060"/>
        </w:rPr>
      </w:pPr>
      <w:r>
        <w:rPr>
          <w:color w:val="002060"/>
        </w:rPr>
        <w:t>Les voisins, en situation de subordination économique mais intégrés au dynamisme global. </w:t>
      </w:r>
    </w:p>
    <w:sectPr w:rsidR="00E53856" w:rsidRPr="00FE42E4" w:rsidSect="00E476B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E476BC"/>
    <w:rsid w:val="00114DB3"/>
    <w:rsid w:val="0014214A"/>
    <w:rsid w:val="00207065"/>
    <w:rsid w:val="002452E6"/>
    <w:rsid w:val="002638EB"/>
    <w:rsid w:val="0029149A"/>
    <w:rsid w:val="002C2B1F"/>
    <w:rsid w:val="003003AA"/>
    <w:rsid w:val="00562D64"/>
    <w:rsid w:val="005E7E1E"/>
    <w:rsid w:val="006024A9"/>
    <w:rsid w:val="006A03FD"/>
    <w:rsid w:val="00786CCD"/>
    <w:rsid w:val="007B43A5"/>
    <w:rsid w:val="007C7D99"/>
    <w:rsid w:val="008812CA"/>
    <w:rsid w:val="00961213"/>
    <w:rsid w:val="00A93277"/>
    <w:rsid w:val="00AA1D50"/>
    <w:rsid w:val="00AB47C0"/>
    <w:rsid w:val="00B17E48"/>
    <w:rsid w:val="00BF1992"/>
    <w:rsid w:val="00D64BE3"/>
    <w:rsid w:val="00DA3077"/>
    <w:rsid w:val="00E476BC"/>
    <w:rsid w:val="00E53856"/>
    <w:rsid w:val="00F551F8"/>
    <w:rsid w:val="00FE39EF"/>
    <w:rsid w:val="00FE42E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colormru v:ext="edit" colors="#030"/>
      <o:colormenu v:ext="edit" fillcolor="#00b050" strokecolor="#7030a0"/>
    </o:shapedefaults>
    <o:shapelayout v:ext="edit">
      <o:idmap v:ext="edit" data="1"/>
      <o:rules v:ext="edit">
        <o:r id="V:Rule20" type="connector" idref="#_x0000_s1087"/>
        <o:r id="V:Rule22" type="connector" idref="#_x0000_s1088"/>
        <o:r id="V:Rule28" type="connector" idref="#_x0000_s1083"/>
        <o:r id="V:Rule30" type="connector" idref="#_x0000_s107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6B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1</Pages>
  <Words>512</Words>
  <Characters>2817</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15</cp:revision>
  <dcterms:created xsi:type="dcterms:W3CDTF">2015-04-28T08:19:00Z</dcterms:created>
  <dcterms:modified xsi:type="dcterms:W3CDTF">2015-04-28T11:27:00Z</dcterms:modified>
</cp:coreProperties>
</file>